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детей с ОВЗ</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детей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«Психологические особенности детей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6.9 владеть действиями (навыками) разработки и реализации индивидуальных образовательных маршрутов, индивидуальных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«Психологические особенности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Клиника интеллектуальных нарушений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00.1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развити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Клинико-психологические особенности умственно отсталых детей с нарушением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55.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слепоглухих детей</w:t>
            </w:r>
          </w:p>
        </w:tc>
      </w:tr>
      <w:tr>
        <w:trPr>
          <w:trHeight w:hRule="exact" w:val="185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детей.</w:t>
            </w:r>
          </w:p>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pPr>
              <w:jc w:val="both"/>
              <w:spacing w:after="0" w:line="240" w:lineRule="auto"/>
              <w:rPr>
                <w:sz w:val="24"/>
                <w:szCs w:val="24"/>
              </w:rPr>
            </w:pPr>
            <w:r>
              <w:rPr>
                <w:rFonts w:ascii="Times New Roman" w:hAnsi="Times New Roman" w:cs="Times New Roman"/>
                <w:color w:val="#000000"/>
                <w:sz w:val="24"/>
                <w:szCs w:val="24"/>
              </w:rPr>
              <w:t>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Опыт работы профессора дефектологии П.И.Соколинского с О.И.Скороходовой.</w:t>
            </w:r>
          </w:p>
          <w:p>
            <w:pPr>
              <w:jc w:val="both"/>
              <w:spacing w:after="0" w:line="240" w:lineRule="auto"/>
              <w:rPr>
                <w:sz w:val="24"/>
                <w:szCs w:val="24"/>
              </w:rPr>
            </w:pPr>
            <w:r>
              <w:rPr>
                <w:rFonts w:ascii="Times New Roman" w:hAnsi="Times New Roman" w:cs="Times New Roman"/>
                <w:color w:val="#000000"/>
                <w:sz w:val="24"/>
                <w:szCs w:val="24"/>
              </w:rPr>
              <w:t>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w:t>
            </w:r>
          </w:p>
          <w:p>
            <w:pPr>
              <w:jc w:val="both"/>
              <w:spacing w:after="0" w:line="240" w:lineRule="auto"/>
              <w:rPr>
                <w:sz w:val="24"/>
                <w:szCs w:val="24"/>
              </w:rPr>
            </w:pPr>
            <w:r>
              <w:rPr>
                <w:rFonts w:ascii="Times New Roman" w:hAnsi="Times New Roman" w:cs="Times New Roman"/>
                <w:color w:val="#000000"/>
                <w:sz w:val="24"/>
                <w:szCs w:val="24"/>
              </w:rPr>
              <w:t> Социально бытовая адаптация слепоглухих детей при выраженной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слепоглухих детей.</w:t>
            </w:r>
          </w:p>
          <w:p>
            <w:pPr>
              <w:jc w:val="both"/>
              <w:spacing w:after="0" w:line="240" w:lineRule="auto"/>
              <w:rPr>
                <w:sz w:val="24"/>
                <w:szCs w:val="24"/>
              </w:rPr>
            </w:pPr>
            <w:r>
              <w:rPr>
                <w:rFonts w:ascii="Times New Roman" w:hAnsi="Times New Roman" w:cs="Times New Roman"/>
                <w:color w:val="#000000"/>
                <w:sz w:val="24"/>
                <w:szCs w:val="24"/>
              </w:rPr>
              <w:t> 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pPr>
              <w:jc w:val="both"/>
              <w:spacing w:after="0" w:line="240" w:lineRule="auto"/>
              <w:rPr>
                <w:sz w:val="24"/>
                <w:szCs w:val="24"/>
              </w:rPr>
            </w:pPr>
            <w:r>
              <w:rPr>
                <w:rFonts w:ascii="Times New Roman" w:hAnsi="Times New Roman" w:cs="Times New Roman"/>
                <w:color w:val="#000000"/>
                <w:sz w:val="24"/>
                <w:szCs w:val="24"/>
              </w:rPr>
              <w:t>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w:t>
            </w:r>
          </w:p>
          <w:p>
            <w:pPr>
              <w:jc w:val="both"/>
              <w:spacing w:after="0" w:line="240" w:lineRule="auto"/>
              <w:rPr>
                <w:sz w:val="24"/>
                <w:szCs w:val="24"/>
              </w:rPr>
            </w:pPr>
            <w:r>
              <w:rPr>
                <w:rFonts w:ascii="Times New Roman" w:hAnsi="Times New Roman" w:cs="Times New Roman"/>
                <w:color w:val="#000000"/>
                <w:sz w:val="24"/>
                <w:szCs w:val="24"/>
              </w:rPr>
              <w:t>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детей с синдромом Дауна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памяти, сохранность механической памяти.</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Нарушение психомоторного развития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слуха.</w:t>
            </w:r>
          </w:p>
          <w:p>
            <w:pPr>
              <w:jc w:val="both"/>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both"/>
              <w:spacing w:after="0" w:line="240" w:lineRule="auto"/>
              <w:rPr>
                <w:sz w:val="24"/>
                <w:szCs w:val="24"/>
              </w:rPr>
            </w:pPr>
            <w:r>
              <w:rPr>
                <w:rFonts w:ascii="Times New Roman" w:hAnsi="Times New Roman" w:cs="Times New Roman"/>
                <w:color w:val="#000000"/>
                <w:sz w:val="24"/>
                <w:szCs w:val="24"/>
              </w:rPr>
              <w:t> 3.Дифференциально-диагностические критерии, позволяющие отличить слабослышащего ребёнка-олигофрена от слабослышащего с нормальным интеллектом.</w:t>
            </w:r>
          </w:p>
          <w:p>
            <w:pPr>
              <w:jc w:val="both"/>
              <w:spacing w:after="0" w:line="240" w:lineRule="auto"/>
              <w:rPr>
                <w:sz w:val="24"/>
                <w:szCs w:val="24"/>
              </w:rPr>
            </w:pPr>
            <w:r>
              <w:rPr>
                <w:rFonts w:ascii="Times New Roman" w:hAnsi="Times New Roman" w:cs="Times New Roman"/>
                <w:color w:val="#000000"/>
                <w:sz w:val="24"/>
                <w:szCs w:val="24"/>
              </w:rPr>
              <w:t> 4.Методы дифференциальной диагностики.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ДЦП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1.Снижение интеллекта при разных формах ДЦП.</w:t>
            </w:r>
          </w:p>
          <w:p>
            <w:pPr>
              <w:jc w:val="both"/>
              <w:spacing w:after="0" w:line="240" w:lineRule="auto"/>
              <w:rPr>
                <w:sz w:val="24"/>
                <w:szCs w:val="24"/>
              </w:rPr>
            </w:pPr>
            <w:r>
              <w:rPr>
                <w:rFonts w:ascii="Times New Roman" w:hAnsi="Times New Roman" w:cs="Times New Roman"/>
                <w:color w:val="#000000"/>
                <w:sz w:val="24"/>
                <w:szCs w:val="24"/>
              </w:rPr>
              <w:t> 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pPr>
              <w:jc w:val="both"/>
              <w:spacing w:after="0" w:line="240" w:lineRule="auto"/>
              <w:rPr>
                <w:sz w:val="24"/>
                <w:szCs w:val="24"/>
              </w:rPr>
            </w:pPr>
            <w:r>
              <w:rPr>
                <w:rFonts w:ascii="Times New Roman" w:hAnsi="Times New Roman" w:cs="Times New Roman"/>
                <w:color w:val="#000000"/>
                <w:sz w:val="24"/>
                <w:szCs w:val="24"/>
              </w:rPr>
              <w:t> 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6.Психологическая помощь умственно отсталым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7.Методы психокоррекции эмоциональных нарушений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left"/>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left"/>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left"/>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left"/>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left"/>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left"/>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left"/>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left"/>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слепоглухих детей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деятельности: лепка, моделирование, рисование, игра в формировании представлений об окружающем мире.</w:t>
            </w:r>
          </w:p>
          <w:p>
            <w:pPr>
              <w:jc w:val="left"/>
              <w:spacing w:after="0" w:line="240" w:lineRule="auto"/>
              <w:rPr>
                <w:sz w:val="24"/>
                <w:szCs w:val="24"/>
              </w:rPr>
            </w:pPr>
            <w:r>
              <w:rPr>
                <w:rFonts w:ascii="Times New Roman" w:hAnsi="Times New Roman" w:cs="Times New Roman"/>
                <w:color w:val="#000000"/>
                <w:sz w:val="24"/>
                <w:szCs w:val="24"/>
              </w:rPr>
              <w:t> 2. Развитие личности слепоглухого ребёнка.</w:t>
            </w:r>
          </w:p>
          <w:p>
            <w:pPr>
              <w:jc w:val="left"/>
              <w:spacing w:after="0" w:line="240" w:lineRule="auto"/>
              <w:rPr>
                <w:sz w:val="24"/>
                <w:szCs w:val="24"/>
              </w:rPr>
            </w:pPr>
            <w:r>
              <w:rPr>
                <w:rFonts w:ascii="Times New Roman" w:hAnsi="Times New Roman" w:cs="Times New Roman"/>
                <w:color w:val="#000000"/>
                <w:sz w:val="24"/>
                <w:szCs w:val="24"/>
              </w:rPr>
              <w:t> 3. Обучение детей совместным со взрослым действиям, развитие самостоятельности.</w:t>
            </w:r>
          </w:p>
          <w:p>
            <w:pPr>
              <w:jc w:val="left"/>
              <w:spacing w:after="0" w:line="240" w:lineRule="auto"/>
              <w:rPr>
                <w:sz w:val="24"/>
                <w:szCs w:val="24"/>
              </w:rPr>
            </w:pPr>
            <w:r>
              <w:rPr>
                <w:rFonts w:ascii="Times New Roman" w:hAnsi="Times New Roman" w:cs="Times New Roman"/>
                <w:color w:val="#000000"/>
                <w:sz w:val="24"/>
                <w:szCs w:val="24"/>
              </w:rPr>
              <w:t> 1.	Раскройте особенности деятельности слепоглухих детей.</w:t>
            </w:r>
          </w:p>
          <w:p>
            <w:pPr>
              <w:jc w:val="left"/>
              <w:spacing w:after="0" w:line="240" w:lineRule="auto"/>
              <w:rPr>
                <w:sz w:val="24"/>
                <w:szCs w:val="24"/>
              </w:rPr>
            </w:pPr>
            <w:r>
              <w:rPr>
                <w:rFonts w:ascii="Times New Roman" w:hAnsi="Times New Roman" w:cs="Times New Roman"/>
                <w:color w:val="#000000"/>
                <w:sz w:val="24"/>
                <w:szCs w:val="24"/>
              </w:rPr>
              <w:t> 5. Раскройте направления и содержание работы по формированию и развитию самостоятельности у слепоглухих детей.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Клинико-психологические особенности умственно отсталых детей с нарушением зрения.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1.Этиопатогенез умственной отсталости с нарушением зрения.</w:t>
            </w:r>
          </w:p>
          <w:p>
            <w:pPr>
              <w:jc w:val="left"/>
              <w:spacing w:after="0" w:line="240" w:lineRule="auto"/>
              <w:rPr>
                <w:sz w:val="24"/>
                <w:szCs w:val="24"/>
              </w:rPr>
            </w:pPr>
            <w:r>
              <w:rPr>
                <w:rFonts w:ascii="Times New Roman" w:hAnsi="Times New Roman" w:cs="Times New Roman"/>
                <w:color w:val="#000000"/>
                <w:sz w:val="24"/>
                <w:szCs w:val="24"/>
              </w:rPr>
              <w:t> 2.Эндогенные и экзогенные факторы сложного дефекта.</w:t>
            </w:r>
          </w:p>
          <w:p>
            <w:pPr>
              <w:jc w:val="left"/>
              <w:spacing w:after="0" w:line="240" w:lineRule="auto"/>
              <w:rPr>
                <w:sz w:val="24"/>
                <w:szCs w:val="24"/>
              </w:rPr>
            </w:pPr>
            <w:r>
              <w:rPr>
                <w:rFonts w:ascii="Times New Roman" w:hAnsi="Times New Roman" w:cs="Times New Roman"/>
                <w:color w:val="#000000"/>
                <w:sz w:val="24"/>
                <w:szCs w:val="24"/>
              </w:rPr>
              <w:t> 3.Особенности психических процессов умственно отсталых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4.Особенности формирования коммуникативной функции у умственно отсталых детей с нарушением 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детей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Творческое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речевое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гиперактивных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(ППСиИО)(23)_plx_Психологические особенности детей с ОВЗ</dc:title>
  <dc:creator>FastReport.NET</dc:creator>
</cp:coreProperties>
</file>